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②　本認定とは別に、金融機関及び信用保証協会による金融上の審査があります。</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③　市町村長又は特別区長から認定を受けた後、本認定の有効期間内に金融機関又は信用保証協会に対して、経営安定関連保証の申込みを行うことが必要です。</w:t>
      </w:r>
      <w:r>
        <w:rPr>
          <w:rFonts w:hint="eastAsia"/>
        </w:rPr>
        <w:t xml:space="preserve">  </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spacing w:line="240" w:lineRule="exact"/>
        <w:jc w:val="left"/>
        <w:textAlignment w:val="baseline"/>
        <w:rPr>
          <w:rFonts w:hint="default"/>
        </w:rPr>
      </w:pPr>
      <w:bookmarkStart w:id="0" w:name="_GoBack"/>
      <w:bookmarkEnd w:id="0"/>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TotalTime>
  <Pages>1</Pages>
  <Words>2</Words>
  <Characters>570</Characters>
  <Application>JUST Note</Application>
  <Lines>52</Lines>
  <Paragraphs>39</Paragraphs>
  <Company>経済産業省</Company>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2020-05-12T10:06:10Z</dcterms:modified>
  <cp:revision>27</cp:revision>
</cp:coreProperties>
</file>